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uto"/>
        <w:ind w:firstLine="482" w:firstLineChars="200"/>
        <w:jc w:val="left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/>
        </w:rPr>
        <w:t>1.4课程成绩评定</w:t>
      </w:r>
    </w:p>
    <w:p>
      <w:pPr>
        <w:widowControl/>
        <w:adjustRightInd w:val="0"/>
        <w:snapToGrid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1.考核方法</w:t>
      </w:r>
    </w:p>
    <w:p>
      <w:pPr>
        <w:widowControl/>
        <w:adjustRightInd w:val="0"/>
        <w:snapToGrid w:val="0"/>
        <w:spacing w:line="240" w:lineRule="auto"/>
        <w:ind w:firstLine="480" w:firstLineChars="200"/>
        <w:jc w:val="left"/>
        <w:rPr>
          <w:rFonts w:hint="default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通过课堂课程网络观看时长及完成测试结果，结合线下课成绩综合评定。</w:t>
      </w:r>
    </w:p>
    <w:p>
      <w:pPr>
        <w:widowControl/>
        <w:adjustRightInd w:val="0"/>
        <w:snapToGrid w:val="0"/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  <w:t>2.成绩评定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线上课视频观看完成情况，以及课后测试成绩统计。总分为100分，占总成绩30%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2）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线下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学生以小组为单位在期末考核过程中模拟面试，考核学生的综合能力，总分为100分，占总成绩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0%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3）学生日常学习生活和课堂表现，体现着学生的综合素质的提高，个人形象的整理和状态，总分为100分，占总成绩20%</w:t>
      </w:r>
    </w:p>
    <w:p>
      <w:pPr>
        <w:adjustRightInd w:val="0"/>
        <w:snapToGrid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3）总评=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平时评价20%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 xml:space="preserve">  + </w:t>
      </w:r>
      <w:r>
        <w:rPr>
          <w:rFonts w:hint="eastAsia" w:ascii="宋体" w:hAnsi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线上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评价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0%+期终评价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0%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MWE2YWFjNGRmMTNhOTcwZDA4Y2FhYWMzMWM3ZTkifQ=="/>
  </w:docVars>
  <w:rsids>
    <w:rsidRoot w:val="00000000"/>
    <w:rsid w:val="2F61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2022-10-26T01:22:14Z</dcterms:created>
  <dc:creator>Administrator</dc:creator>
  <cp:lastModifiedBy>№ ① 咻 えベ</cp:lastModifiedBy>
  <dcterms:modified xsi:type="dcterms:W3CDTF">2022-10-26T01:25:10Z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4D3879FBEBAD48C9AC539CBFFFF79B0B</vt:lpwstr>
  </property>
</Properties>
</file>